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16" w:rsidRDefault="00945E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36"/>
        </w:rPr>
      </w:pPr>
      <w:bookmarkStart w:id="0" w:name="_GoBack"/>
      <w:bookmarkEnd w:id="0"/>
      <w:r>
        <w:rPr>
          <w:b/>
          <w:color w:val="000000"/>
          <w:sz w:val="36"/>
          <w:szCs w:val="36"/>
        </w:rPr>
        <w:t xml:space="preserve">Acord per ampliar els dies d’obertura comercial en zones turístiques a Barcelona </w:t>
      </w:r>
    </w:p>
    <w:p w:rsidR="00AE3C16" w:rsidRDefault="00AE3C1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AE3C16" w:rsidRDefault="00945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7F7F7F"/>
        </w:rPr>
        <w:t>L’acord està avalat per la Fundació Barcelona Comerç, Barcelona Oberta, PIMEC Comerç, Foment del Treball, l’Associació Nacional de Grans Empreses de Distribució (ANGED) i la UGT, i amb el vist i plau del Govern municipal</w:t>
      </w:r>
    </w:p>
    <w:p w:rsidR="00AE3C16" w:rsidRDefault="00AE3C16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7F7F7F"/>
        </w:rPr>
      </w:pPr>
    </w:p>
    <w:p w:rsidR="00AE3C16" w:rsidRDefault="00945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7F7F7F"/>
        </w:rPr>
        <w:t>Aquest acord se sotmetrà a votació</w:t>
      </w:r>
      <w:r>
        <w:rPr>
          <w:b/>
          <w:color w:val="7F7F7F"/>
        </w:rPr>
        <w:t xml:space="preserve"> al Plenari municipal del proper 25 de febrer per elevar-lo a la Direcció de Comerç de la Generalitat de Catalunya, que és l’òrgan competent per regular aquesta matèria</w:t>
      </w:r>
    </w:p>
    <w:p w:rsidR="00AE3C16" w:rsidRDefault="00AE3C16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7F7F7F"/>
        </w:rPr>
      </w:pPr>
    </w:p>
    <w:p w:rsidR="00AE3C16" w:rsidRDefault="00945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7F7F7F"/>
        </w:rPr>
        <w:t>S’amplia la Zona de Gran Afluència Turística (ZGAT), que passarà a coincidir amb les z</w:t>
      </w:r>
      <w:r>
        <w:rPr>
          <w:b/>
          <w:color w:val="7F7F7F"/>
        </w:rPr>
        <w:t>ones 1 i 2 del Pla Especial Urbanístic d’Allotjaments Turístics (PEUAT)</w:t>
      </w:r>
    </w:p>
    <w:p w:rsidR="00AE3C16" w:rsidRDefault="00AE3C16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7F7F7F"/>
        </w:rPr>
      </w:pPr>
    </w:p>
    <w:p w:rsidR="00AE3C16" w:rsidRDefault="00945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/>
          <w:color w:val="7F7F7F"/>
        </w:rPr>
        <w:t>Els establiments inclosos en el nou àmbit podran obrir els diumenges i festius de 12 a 20 hores entre el 15 de maig i el 15 de setembre</w:t>
      </w:r>
    </w:p>
    <w:p w:rsidR="00AE3C16" w:rsidRDefault="00AE3C1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AE3C16" w:rsidRDefault="00945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7F7F7F"/>
        </w:rPr>
        <w:t>Des de Barcelona Activa es farà seguiment de l</w:t>
      </w:r>
      <w:r>
        <w:rPr>
          <w:b/>
          <w:color w:val="7F7F7F"/>
        </w:rPr>
        <w:t>es contractacions, una de les prioritats del Govern municipal que, finalment, també es recull a l’acord</w:t>
      </w:r>
    </w:p>
    <w:p w:rsidR="00AE3C16" w:rsidRDefault="00AE3C1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AE3C16" w:rsidRDefault="00945EBA">
      <w:r>
        <w:t>La Fundació Barcelona Comerç, Barcelona Oberta, PIMEC Comerç, Foment del Treball, l’Associació Nacional de Grans Empreses de Distribució (ANGED) i la U</w:t>
      </w:r>
      <w:r>
        <w:t>GT han arribat a un acord per ampliar la delimitació i els dies d’obertura comercial de la Zona de Gran Afluència Turística (ZGAT) a la ciutat de Barcelona. Una proposta que compta amb el suport de l’Ajuntament de Barcelona. El sindicat CCOO, que des del p</w:t>
      </w:r>
      <w:r>
        <w:t>rincipi ha participat a les negociacions, està pendent de la decisió definitiva dels seus òrgans sobre la seva incorporació a l’acord.</w:t>
      </w:r>
    </w:p>
    <w:p w:rsidR="00AE3C16" w:rsidRDefault="00AE3C16"/>
    <w:p w:rsidR="00AE3C16" w:rsidRDefault="00945EBA">
      <w:r>
        <w:t xml:space="preserve">L’acord, </w:t>
      </w:r>
      <w:r>
        <w:rPr>
          <w:color w:val="000000"/>
        </w:rPr>
        <w:t xml:space="preserve">que se signarà dilluns, </w:t>
      </w:r>
      <w:r>
        <w:t>se sotmetrà a votació al Plenari municipal del proper 25 de febrer per elevar-lo a la Direcció de Comerç de la Generalitat de Catalunya, que és l’òrgan competent per regular aquesta qüestió.</w:t>
      </w:r>
    </w:p>
    <w:p w:rsidR="00AE3C16" w:rsidRDefault="00AE3C16"/>
    <w:p w:rsidR="00AE3C16" w:rsidRDefault="00945EBA">
      <w:pPr>
        <w:rPr>
          <w:color w:val="000000"/>
        </w:rPr>
      </w:pPr>
      <w:r>
        <w:rPr>
          <w:color w:val="000000"/>
        </w:rPr>
        <w:t>El tinent d’alcaldia d’Economia, Treball, Competitivitat i Hisen</w:t>
      </w:r>
      <w:r>
        <w:rPr>
          <w:color w:val="000000"/>
        </w:rPr>
        <w:t>da, Jaume Collboni, ha agraït “la feina i l’esforç de les entitats territorials, les patronals i la part sindical per arribar a un acord sobre l’ampliació d’obertura a la zona comercial turística de Barcelona. D’aquesta manera, serà possible captar més con</w:t>
      </w:r>
      <w:r>
        <w:rPr>
          <w:color w:val="000000"/>
        </w:rPr>
        <w:t>sum dels visitants i es contribuirà a millorar el posicionament de Barcelona com a destí de compres, que es traduirà en reactivació econòmica i més ocupació”.</w:t>
      </w:r>
    </w:p>
    <w:p w:rsidR="00AE3C16" w:rsidRDefault="00AE3C16">
      <w:pPr>
        <w:rPr>
          <w:color w:val="000000"/>
        </w:rPr>
      </w:pPr>
    </w:p>
    <w:p w:rsidR="00AE3C16" w:rsidRDefault="00945EBA">
      <w:pPr>
        <w:rPr>
          <w:color w:val="000000"/>
        </w:rPr>
      </w:pPr>
      <w:r>
        <w:rPr>
          <w:color w:val="000000"/>
        </w:rPr>
        <w:t>Collboni ha expressat que “ens alegrem que en aquesta negociació i acord també hi hagi represent</w:t>
      </w:r>
      <w:r>
        <w:rPr>
          <w:color w:val="000000"/>
        </w:rPr>
        <w:t>ació dels treballadors i treballadores, requisit que sempre s’ha defensat des del Govern municipal, ja que aquesta és la millor garantia que els nous dies d’obertura generaran nova ocupació i no recauran sobre els treballadors ja contractats” i ha finalitz</w:t>
      </w:r>
      <w:r>
        <w:rPr>
          <w:color w:val="000000"/>
        </w:rPr>
        <w:t xml:space="preserve">at “esperem que </w:t>
      </w:r>
      <w:r>
        <w:rPr>
          <w:color w:val="000000"/>
        </w:rPr>
        <w:lastRenderedPageBreak/>
        <w:t>l’acord sigui ratificat pel Plenari del Consell Municipal i respectat per la Direcció General de Comerç de la Generalitat de Catalunya, que és a qui correspon per llei fixar la zona turística i els dies d’obertura dins de la mateixa”.</w:t>
      </w:r>
    </w:p>
    <w:p w:rsidR="00AE3C16" w:rsidRDefault="00AE3C16"/>
    <w:p w:rsidR="00AE3C16" w:rsidRDefault="00945EBA">
      <w:r>
        <w:t>El n</w:t>
      </w:r>
      <w:r>
        <w:t>ou acord proposa ampliar la zona turística per obertura comercial respecte de la regulació actual, ja que inclou les zones 1 i 2 del Pla Especial Urbanístic d’Allotjaments Turístics (PEUAT). Dins d’aquest territori, els comerços podran obrir diumenges i fe</w:t>
      </w:r>
      <w:r>
        <w:t>stius de 12 a 20 hores, entre el 15 de maig i el 15 de setembre. Aquesta situació tindria vigència fins al 31 de desembre de 2025, quan caldria aprovar una nova regulació</w:t>
      </w:r>
    </w:p>
    <w:p w:rsidR="00AE3C16" w:rsidRDefault="00AE3C16"/>
    <w:p w:rsidR="00AE3C16" w:rsidRDefault="00945EBA">
      <w:r>
        <w:t>Les àrees que abastarà aquesta regulació són les següents:</w:t>
      </w:r>
    </w:p>
    <w:p w:rsidR="00AE3C16" w:rsidRDefault="00AE3C16"/>
    <w:p w:rsidR="00AE3C16" w:rsidRDefault="00945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Ciutat Vella: El Raval, </w:t>
      </w:r>
      <w:r>
        <w:rPr>
          <w:color w:val="000000"/>
        </w:rPr>
        <w:t>el Gòtic, Sant Pere, Santa Caterina i La Ribera i La Barceloneta.</w:t>
      </w:r>
    </w:p>
    <w:p w:rsidR="00AE3C16" w:rsidRDefault="00945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Eixample: la Nova Esquerra de l’Eixample, l’Antiga Esquerra de l’Eixample, la Dreta de l’Eixample, La Sagrada Família, el Fort Pienc i Sant Antoni.</w:t>
      </w:r>
    </w:p>
    <w:p w:rsidR="00AE3C16" w:rsidRDefault="00945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Sants-Montjuïc: Sants, Hostafrancs, Poble Sec i Font de la Guatlla. </w:t>
      </w:r>
    </w:p>
    <w:p w:rsidR="00AE3C16" w:rsidRDefault="00945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Les Corts: Les Corts.</w:t>
      </w:r>
    </w:p>
    <w:p w:rsidR="00AE3C16" w:rsidRDefault="00945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Sarrià-Sant Gervasi: Sant Gervasi-Galvany, part dels barris del Putxet i el Farró.</w:t>
      </w:r>
    </w:p>
    <w:p w:rsidR="00AE3C16" w:rsidRDefault="00945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Gràcia: la Vila de Gràcia, part dels barris de La Salut, el Camp d’en Grassot, Grà</w:t>
      </w:r>
      <w:r>
        <w:rPr>
          <w:color w:val="000000"/>
        </w:rPr>
        <w:t>cia Nova i de Vallcarca i els Penitents.</w:t>
      </w:r>
    </w:p>
    <w:p w:rsidR="00AE3C16" w:rsidRDefault="00945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Horta-Guinardó: part del Baix Guinardó.</w:t>
      </w:r>
    </w:p>
    <w:p w:rsidR="00AE3C16" w:rsidRDefault="00945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>
        <w:rPr>
          <w:color w:val="000000"/>
        </w:rPr>
        <w:t>Sant Martí: la Vila Olímpica del Poblenou, el Poblenou i part dels barris del Parc i la Llacuna del Poblenou, i Diagonal Mar i el Fòrum Marítim del Poblenou.</w:t>
      </w:r>
    </w:p>
    <w:p w:rsidR="00AE3C16" w:rsidRDefault="00AE3C16">
      <w:pPr>
        <w:rPr>
          <w:color w:val="FF0000"/>
        </w:rPr>
      </w:pPr>
    </w:p>
    <w:tbl>
      <w:tblPr>
        <w:tblStyle w:val="a"/>
        <w:tblW w:w="94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95"/>
      </w:tblGrid>
      <w:tr w:rsidR="00AE3C16">
        <w:tc>
          <w:tcPr>
            <w:tcW w:w="9495" w:type="dxa"/>
          </w:tcPr>
          <w:p w:rsidR="00AE3C16" w:rsidRDefault="00945EBA">
            <w:pPr>
              <w:jc w:val="center"/>
            </w:pPr>
            <w:bookmarkStart w:id="1" w:name="_gjdgxs" w:colFirst="0" w:colLast="0"/>
            <w:bookmarkEnd w:id="1"/>
            <w:r>
              <w:rPr>
                <w:noProof/>
              </w:rPr>
              <w:drawing>
                <wp:inline distT="0" distB="0" distL="0" distR="0">
                  <wp:extent cx="4489750" cy="2686589"/>
                  <wp:effectExtent l="0" t="0" r="0" b="0"/>
                  <wp:docPr id="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l="39948" t="33803" r="18065" b="215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750" cy="26865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3C16" w:rsidRDefault="00945EB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Nova Zona de Gran Afluència Turística a la que els comerços podran obrir diumenges i festius del 15 de maig al 15 de setembre, coincideix amb les zones 1 i 2 del PEUAT </w:t>
      </w:r>
    </w:p>
    <w:p w:rsidR="00AE3C16" w:rsidRDefault="00AE3C16">
      <w:pPr>
        <w:rPr>
          <w:b/>
          <w:sz w:val="18"/>
          <w:szCs w:val="18"/>
        </w:rPr>
      </w:pPr>
    </w:p>
    <w:p w:rsidR="00AE3C16" w:rsidRDefault="00945EBA">
      <w:r>
        <w:rPr>
          <w:color w:val="000000"/>
        </w:rPr>
        <w:lastRenderedPageBreak/>
        <w:t>L’Ajuntament de Barcelona ja va demanar que la proposta havia d’anar acompanyada d’una</w:t>
      </w:r>
      <w:r>
        <w:rPr>
          <w:color w:val="000000"/>
        </w:rPr>
        <w:t xml:space="preserve"> negociació amb la part social. Per aquest motiu, s’ha treballat amb els dos sindicats majoritaris, UGT i CCOO, i s'ha arribat a un acord avalat per l’UGT. En el cas de CCOO, q</w:t>
      </w:r>
      <w:r>
        <w:t>ue des del principi ha participat a les negociacions, està pendent de la decisió</w:t>
      </w:r>
      <w:r>
        <w:t xml:space="preserve"> definitiva dels seus òrgans sobre la seva incorporació a l’acord.</w:t>
      </w:r>
    </w:p>
    <w:p w:rsidR="00AE3C16" w:rsidRDefault="00AE3C16">
      <w:pPr>
        <w:rPr>
          <w:color w:val="000000"/>
        </w:rPr>
      </w:pPr>
    </w:p>
    <w:p w:rsidR="00AE3C16" w:rsidRDefault="00945EBA">
      <w:pPr>
        <w:rPr>
          <w:color w:val="000000"/>
        </w:rPr>
      </w:pPr>
      <w:r>
        <w:rPr>
          <w:color w:val="000000"/>
        </w:rPr>
        <w:t>El consistori també considerava essencial que aquesta nova regulació donés garanties de contractació. Barcelona Activa serà l’ens encarregat de fer-ne el seguiment per garantir que així es</w:t>
      </w:r>
      <w:r>
        <w:rPr>
          <w:color w:val="000000"/>
        </w:rPr>
        <w:t xml:space="preserve"> faci.</w:t>
      </w:r>
    </w:p>
    <w:p w:rsidR="00AE3C16" w:rsidRDefault="00AE3C16"/>
    <w:p w:rsidR="00AE3C16" w:rsidRDefault="00AE3C16">
      <w:pPr>
        <w:shd w:val="clear" w:color="auto" w:fill="FFFFFF"/>
      </w:pPr>
    </w:p>
    <w:p w:rsidR="00AE3C16" w:rsidRDefault="00945EBA">
      <w:pPr>
        <w:shd w:val="clear" w:color="auto" w:fill="FFFFFF"/>
        <w:rPr>
          <w:b/>
        </w:rPr>
      </w:pPr>
      <w:r>
        <w:rPr>
          <w:b/>
        </w:rPr>
        <w:t>La regulació actual és més restrictiva</w:t>
      </w:r>
    </w:p>
    <w:p w:rsidR="00AE3C16" w:rsidRDefault="00945EBA">
      <w:r>
        <w:t>Actualment, la ciutat de Barcelona té reconegudes unes zones com a turístiques pel que fa als horaris comercials. Aquestes estan recollides en la resolució de la Direcció General de Comerç de la Generalitat d</w:t>
      </w:r>
      <w:r>
        <w:t xml:space="preserve">e Catalunya del juliol de 2014. Els horaris d’obertura en aquestes zones queden establerts per una resolució de la Generalitat de l’abril de 2016. En ambdós casos, a proposta de l’Ajuntament de Barcelona. Concretament, poden obrir tots els dies entre el 5 </w:t>
      </w:r>
      <w:r>
        <w:t>i el 24 de maig ambdós inclosos, i entre l’1 i el 14 d’octubre ambdós inclosos, de 12 a 20 hores. Aquesta situació està prorrogada i deixarà d’estar en vigor amb el nou acord.</w:t>
      </w:r>
    </w:p>
    <w:p w:rsidR="00AE3C16" w:rsidRDefault="00AE3C16"/>
    <w:p w:rsidR="00AE3C16" w:rsidRDefault="00945EBA">
      <w:r>
        <w:t>Les zones on està vigent aquesta regulació són:</w:t>
      </w:r>
    </w:p>
    <w:p w:rsidR="00AE3C16" w:rsidRDefault="00AE3C16"/>
    <w:p w:rsidR="00AE3C16" w:rsidRDefault="00945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color w:val="000000"/>
        </w:rPr>
        <w:t>Ciutat Vella: El Raval, el Gòtic, Sant Pere, Santa Caterina i La Ribera i La Barceloneta.</w:t>
      </w:r>
    </w:p>
    <w:p w:rsidR="00AE3C16" w:rsidRDefault="00945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color w:val="000000"/>
        </w:rPr>
        <w:t>Eixample: la Nova Esquerra de l’Eixample, l’Antiga Esquerra de l’Eixample, la Dreta de l’Eixample, La Sagrada Família, el Fort Pienc i Sant Antoni.</w:t>
      </w:r>
    </w:p>
    <w:p w:rsidR="00AE3C16" w:rsidRDefault="00945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color w:val="000000"/>
        </w:rPr>
        <w:t>Sants-Montjuïc: Sa</w:t>
      </w:r>
      <w:r>
        <w:rPr>
          <w:color w:val="000000"/>
        </w:rPr>
        <w:t>nts, Hostafrancs i Poble Sec.</w:t>
      </w:r>
    </w:p>
    <w:p w:rsidR="00AE3C16" w:rsidRDefault="00945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color w:val="000000"/>
        </w:rPr>
        <w:t xml:space="preserve">Gràcia: la Vila de Gràcia, la Salut, el Camp d’en Grassot i Gràcia Nova. </w:t>
      </w:r>
    </w:p>
    <w:p w:rsidR="00AE3C16" w:rsidRDefault="00945E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</w:pPr>
      <w:r>
        <w:rPr>
          <w:color w:val="000000"/>
        </w:rPr>
        <w:t>Sant Martí: El Camp de l’Arpa del Clot.</w:t>
      </w:r>
    </w:p>
    <w:p w:rsidR="00AE3C16" w:rsidRDefault="00AE3C16">
      <w:pPr>
        <w:spacing w:after="200"/>
        <w:ind w:left="360"/>
        <w:jc w:val="left"/>
      </w:pPr>
    </w:p>
    <w:tbl>
      <w:tblPr>
        <w:tblStyle w:val="a0"/>
        <w:tblW w:w="95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AE3C16">
        <w:tc>
          <w:tcPr>
            <w:tcW w:w="9571" w:type="dxa"/>
          </w:tcPr>
          <w:p w:rsidR="00AE3C16" w:rsidRDefault="00945EB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lastRenderedPageBreak/>
              <w:drawing>
                <wp:inline distT="0" distB="0" distL="0" distR="0">
                  <wp:extent cx="5995533" cy="4217683"/>
                  <wp:effectExtent l="0" t="0" r="0" b="0"/>
                  <wp:docPr id="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l="9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5533" cy="42176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3C16" w:rsidRDefault="00945EBA">
      <w:pPr>
        <w:rPr>
          <w:b/>
          <w:sz w:val="18"/>
          <w:szCs w:val="18"/>
        </w:rPr>
      </w:pPr>
      <w:r>
        <w:rPr>
          <w:b/>
          <w:sz w:val="18"/>
          <w:szCs w:val="18"/>
        </w:rPr>
        <w:t>Zona regulada actualment</w:t>
      </w:r>
    </w:p>
    <w:p w:rsidR="00AE3C16" w:rsidRDefault="00AE3C16"/>
    <w:p w:rsidR="00AE3C16" w:rsidRDefault="00945EBA">
      <w:r>
        <w:t>A més d’aquests dies, el comerç de tota la ciutat compta amb 10 dies festius en els que poden obrir les seves portes. 8 els fixa la Generalitat de Catalunya i 2 l’Ajuntament de Barcelona. Per a l’any 2022, els dies d’obertura comercial són: 2 i 9 de gener,</w:t>
      </w:r>
      <w:r>
        <w:t xml:space="preserve"> 6 de juny, 15 d’agost, 26 de setembre i 4, 8, 11 i 18 de desembre. Pel 2023 seran: 8 de gener, 1 i 26 de novembre i 3, 6, 8, 10, 17, 24 i 31 de desembre.</w:t>
      </w:r>
    </w:p>
    <w:p w:rsidR="00AE3C16" w:rsidRDefault="00AE3C16"/>
    <w:p w:rsidR="00AE3C16" w:rsidRDefault="00945EBA">
      <w:r>
        <w:t xml:space="preserve">En el cas dels locals de menys de 300 metres quadrats tenen llibertat d'obertura. </w:t>
      </w:r>
    </w:p>
    <w:p w:rsidR="00AE3C16" w:rsidRDefault="00AE3C16"/>
    <w:sectPr w:rsidR="00AE3C1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4" w:left="1418" w:header="567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EBA" w:rsidRDefault="00945EBA">
      <w:pPr>
        <w:spacing w:line="240" w:lineRule="auto"/>
      </w:pPr>
      <w:r>
        <w:separator/>
      </w:r>
    </w:p>
  </w:endnote>
  <w:endnote w:type="continuationSeparator" w:id="0">
    <w:p w:rsidR="00945EBA" w:rsidRDefault="00945E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C16" w:rsidRDefault="00A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:rsidR="00AE3C16" w:rsidRDefault="00945E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-634</wp:posOffset>
              </wp:positionH>
              <wp:positionV relativeFrom="paragraph">
                <wp:posOffset>146050</wp:posOffset>
              </wp:positionV>
              <wp:extent cx="5939790" cy="0"/>
              <wp:effectExtent l="8890" t="12700" r="13970" b="6350"/>
              <wp:wrapNone/>
              <wp:docPr id="4" name="Connector de fletxa rec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</wp:posOffset>
              </wp:positionH>
              <wp:positionV relativeFrom="paragraph">
                <wp:posOffset>146050</wp:posOffset>
              </wp:positionV>
              <wp:extent cx="5962650" cy="19050"/>
              <wp:effectExtent b="0" l="0" r="0" t="0"/>
              <wp:wrapNone/>
              <wp:docPr id="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6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-96519</wp:posOffset>
              </wp:positionH>
              <wp:positionV relativeFrom="paragraph">
                <wp:posOffset>0</wp:posOffset>
              </wp:positionV>
              <wp:extent cx="2152650" cy="390525"/>
              <wp:effectExtent l="3810" t="4445" r="0" b="0"/>
              <wp:wrapSquare wrapText="bothSides" distT="0" distB="0" distL="114300" distR="114300"/>
              <wp:docPr id="1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526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FF252C" w:rsidRPr="007A7F80" w:rsidRDefault="00945EBA" w:rsidP="003729F3">
                          <w:pPr>
                            <w:jc w:val="left"/>
                            <w:rPr>
                              <w:color w:val="DC002E"/>
                              <w:sz w:val="16"/>
                              <w:szCs w:val="16"/>
                            </w:rPr>
                          </w:pPr>
                          <w:r w:rsidRPr="00645DD8">
                            <w:rPr>
                              <w:b/>
                              <w:color w:val="DC002E"/>
                              <w:sz w:val="16"/>
                              <w:szCs w:val="16"/>
                            </w:rPr>
                            <w:t>www.barcelona.cat/premsa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-96519</wp:posOffset>
              </wp:positionH>
              <wp:positionV relativeFrom="paragraph">
                <wp:posOffset>0</wp:posOffset>
              </wp:positionV>
              <wp:extent cx="2156460" cy="394970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6460" cy="3949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E3C16" w:rsidRDefault="00945E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96565C">
      <w:rPr>
        <w:color w:val="000000"/>
        <w:sz w:val="16"/>
        <w:szCs w:val="16"/>
      </w:rPr>
      <w:fldChar w:fldCharType="separate"/>
    </w:r>
    <w:r w:rsidR="0096565C">
      <w:rPr>
        <w:noProof/>
        <w:color w:val="000000"/>
        <w:sz w:val="16"/>
        <w:szCs w:val="16"/>
      </w:rPr>
      <w:t>4</w:t>
    </w:r>
    <w:r>
      <w:rPr>
        <w:color w:val="000000"/>
        <w:sz w:val="16"/>
        <w:szCs w:val="16"/>
      </w:rPr>
      <w:fldChar w:fldCharType="end"/>
    </w:r>
  </w:p>
  <w:p w:rsidR="00AE3C16" w:rsidRDefault="00A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E3C16" w:rsidRDefault="00AE3C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C16" w:rsidRDefault="00A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:rsidR="00AE3C16" w:rsidRDefault="00945E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-634</wp:posOffset>
              </wp:positionH>
              <wp:positionV relativeFrom="paragraph">
                <wp:posOffset>146050</wp:posOffset>
              </wp:positionV>
              <wp:extent cx="5939790" cy="0"/>
              <wp:effectExtent l="8890" t="12700" r="13970" b="6350"/>
              <wp:wrapNone/>
              <wp:docPr id="2" name="Connector de fletxa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</wp:posOffset>
              </wp:positionH>
              <wp:positionV relativeFrom="paragraph">
                <wp:posOffset>146050</wp:posOffset>
              </wp:positionV>
              <wp:extent cx="5962650" cy="190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6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-96519</wp:posOffset>
              </wp:positionH>
              <wp:positionV relativeFrom="paragraph">
                <wp:posOffset>0</wp:posOffset>
              </wp:positionV>
              <wp:extent cx="2152650" cy="390525"/>
              <wp:effectExtent l="3810" t="4445" r="0" b="0"/>
              <wp:wrapSquare wrapText="bothSides" distT="0" distB="0" distL="114300" distR="114300"/>
              <wp:docPr id="3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526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FF252C" w:rsidRPr="007A7F80" w:rsidRDefault="00945EBA" w:rsidP="002A6657">
                          <w:pPr>
                            <w:jc w:val="left"/>
                            <w:rPr>
                              <w:color w:val="DC002E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DC002E"/>
                              <w:sz w:val="16"/>
                              <w:szCs w:val="16"/>
                            </w:rPr>
                            <w:t>www.barcelona</w:t>
                          </w:r>
                          <w:r w:rsidRPr="007A7F80">
                            <w:rPr>
                              <w:b/>
                              <w:color w:val="DC002E"/>
                              <w:sz w:val="16"/>
                              <w:szCs w:val="16"/>
                            </w:rPr>
                            <w:t>.cat</w:t>
                          </w:r>
                          <w:r>
                            <w:rPr>
                              <w:b/>
                              <w:color w:val="DC002E"/>
                              <w:sz w:val="16"/>
                              <w:szCs w:val="16"/>
                            </w:rPr>
                            <w:t>/premsa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-96519</wp:posOffset>
              </wp:positionH>
              <wp:positionV relativeFrom="paragraph">
                <wp:posOffset>0</wp:posOffset>
              </wp:positionV>
              <wp:extent cx="2156460" cy="394970"/>
              <wp:effectExtent b="0" l="0" r="0" t="0"/>
              <wp:wrapSquare wrapText="bothSides" distB="0" distT="0" distL="114300" distR="114300"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6460" cy="3949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E3C16" w:rsidRDefault="00945E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96565C">
      <w:rPr>
        <w:color w:val="000000"/>
        <w:sz w:val="16"/>
        <w:szCs w:val="16"/>
      </w:rPr>
      <w:fldChar w:fldCharType="separate"/>
    </w:r>
    <w:r w:rsidR="0096565C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  <w:p w:rsidR="00AE3C16" w:rsidRDefault="00A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E3C16" w:rsidRDefault="00AE3C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EBA" w:rsidRDefault="00945EBA">
      <w:pPr>
        <w:spacing w:line="240" w:lineRule="auto"/>
      </w:pPr>
      <w:r>
        <w:separator/>
      </w:r>
    </w:p>
  </w:footnote>
  <w:footnote w:type="continuationSeparator" w:id="0">
    <w:p w:rsidR="00945EBA" w:rsidRDefault="00945E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C16" w:rsidRDefault="00945E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466725</wp:posOffset>
          </wp:positionH>
          <wp:positionV relativeFrom="page">
            <wp:posOffset>390525</wp:posOffset>
          </wp:positionV>
          <wp:extent cx="1206500" cy="330835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00" cy="330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E3C16" w:rsidRDefault="00A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E3C16" w:rsidRDefault="00A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E3C16" w:rsidRDefault="00A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E3C16" w:rsidRDefault="00A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E3C16" w:rsidRDefault="00A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E3C16" w:rsidRDefault="00A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C16" w:rsidRDefault="00945E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page">
            <wp:posOffset>466725</wp:posOffset>
          </wp:positionH>
          <wp:positionV relativeFrom="page">
            <wp:posOffset>388620</wp:posOffset>
          </wp:positionV>
          <wp:extent cx="1205865" cy="33083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5865" cy="330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993139</wp:posOffset>
              </wp:positionH>
              <wp:positionV relativeFrom="paragraph">
                <wp:posOffset>15875</wp:posOffset>
              </wp:positionV>
              <wp:extent cx="5020310" cy="572770"/>
              <wp:effectExtent l="2540" t="0" r="0" b="1905"/>
              <wp:wrapNone/>
              <wp:docPr id="5" name="Quadre de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20310" cy="572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FF252C" w:rsidRPr="00B4156C" w:rsidRDefault="00945EBA" w:rsidP="002A665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4156C">
                            <w:rPr>
                              <w:sz w:val="20"/>
                            </w:rPr>
                            <w:t xml:space="preserve">» </w:t>
                          </w:r>
                          <w:r w:rsidRPr="00B4156C">
                            <w:t>Nota de Premsa</w:t>
                          </w:r>
                        </w:p>
                        <w:p w:rsidR="00FF252C" w:rsidRPr="00B4156C" w:rsidRDefault="00945EBA" w:rsidP="002A6657">
                          <w:r>
                            <w:t>18</w:t>
                          </w:r>
                          <w:r>
                            <w:t xml:space="preserve"> de Febrer de 2022</w:t>
                          </w:r>
                        </w:p>
                        <w:p w:rsidR="00FF252C" w:rsidRPr="00B4156C" w:rsidRDefault="00945EBA" w:rsidP="002A665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993139</wp:posOffset>
              </wp:positionH>
              <wp:positionV relativeFrom="paragraph">
                <wp:posOffset>15875</wp:posOffset>
              </wp:positionV>
              <wp:extent cx="5022850" cy="574675"/>
              <wp:effectExtent b="0" l="0" r="0" t="0"/>
              <wp:wrapNone/>
              <wp:docPr id="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22850" cy="574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E3C16" w:rsidRDefault="00A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E3C16" w:rsidRDefault="00A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E3C16" w:rsidRDefault="00A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E3C16" w:rsidRDefault="00A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C37F8"/>
    <w:multiLevelType w:val="multilevel"/>
    <w:tmpl w:val="E03E2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D630D5A"/>
    <w:multiLevelType w:val="multilevel"/>
    <w:tmpl w:val="DA2ED776"/>
    <w:lvl w:ilvl="0">
      <w:start w:val="1"/>
      <w:numFmt w:val="bullet"/>
      <w:lvlText w:val="»"/>
      <w:lvlJc w:val="left"/>
      <w:pPr>
        <w:ind w:left="720" w:hanging="360"/>
      </w:pPr>
      <w:rPr>
        <w:rFonts w:ascii="Arial" w:eastAsia="Arial" w:hAnsi="Arial" w:cs="Arial"/>
        <w:color w:val="DC092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E3C16"/>
    <w:rsid w:val="00945EBA"/>
    <w:rsid w:val="0096565C"/>
    <w:rsid w:val="00A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-ES" w:eastAsia="ca-E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outlineLvl w:val="0"/>
    </w:pPr>
    <w:rPr>
      <w:b/>
      <w:color w:val="808080"/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40" w:line="240" w:lineRule="auto"/>
      <w:ind w:left="720" w:hanging="720"/>
      <w:jc w:val="left"/>
      <w:outlineLvl w:val="1"/>
    </w:pPr>
    <w:rPr>
      <w:rFonts w:ascii="Cambria" w:eastAsia="Cambria" w:hAnsi="Cambria" w:cs="Cambria"/>
      <w:b/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jc w:val="center"/>
      <w:outlineLvl w:val="4"/>
    </w:pPr>
    <w:rPr>
      <w:i/>
      <w:sz w:val="18"/>
      <w:szCs w:val="18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  <w:ind w:left="2160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  <w:ind w:left="2160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-ES" w:eastAsia="ca-E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outlineLvl w:val="0"/>
    </w:pPr>
    <w:rPr>
      <w:b/>
      <w:color w:val="808080"/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40" w:line="240" w:lineRule="auto"/>
      <w:ind w:left="720" w:hanging="720"/>
      <w:jc w:val="left"/>
      <w:outlineLvl w:val="1"/>
    </w:pPr>
    <w:rPr>
      <w:rFonts w:ascii="Cambria" w:eastAsia="Cambria" w:hAnsi="Cambria" w:cs="Cambria"/>
      <w:b/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jc w:val="center"/>
      <w:outlineLvl w:val="4"/>
    </w:pPr>
    <w:rPr>
      <w:i/>
      <w:sz w:val="18"/>
      <w:szCs w:val="18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  <w:ind w:left="2160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  <w:ind w:left="2160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Sedo, Ramon</dc:creator>
  <cp:lastModifiedBy>Ramon</cp:lastModifiedBy>
  <cp:revision>2</cp:revision>
  <dcterms:created xsi:type="dcterms:W3CDTF">2022-02-18T13:58:00Z</dcterms:created>
  <dcterms:modified xsi:type="dcterms:W3CDTF">2022-02-18T13:58:00Z</dcterms:modified>
</cp:coreProperties>
</file>